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86416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2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1037 </w:t>
      </w:r>
    </w:p>
    <w:p w:rsidR="00000000" w:rsidRDefault="00086416">
      <w:pPr>
        <w:widowControl w:val="0"/>
        <w:autoSpaceDE w:val="0"/>
        <w:autoSpaceDN w:val="0"/>
        <w:adjustRightInd w:val="0"/>
        <w:spacing w:before="13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47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4.02.2011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54 </w:t>
      </w:r>
    </w:p>
    <w:p w:rsidR="00000000" w:rsidRDefault="00086416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169),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864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86416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0" w:lineRule="exact"/>
        <w:ind w:left="6541" w:right="12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654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«31» 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70" w:lineRule="exact"/>
        <w:ind w:left="65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65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04.02.2011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540" w:lineRule="exact"/>
        <w:ind w:left="1265" w:right="-60"/>
        <w:rPr>
          <w:rFonts w:ascii="Times New Roman" w:hAnsi="Times New Roman" w:cs="Times New Roman"/>
          <w:color w:val="000000"/>
          <w:sz w:val="48"/>
          <w:szCs w:val="24"/>
        </w:rPr>
      </w:pPr>
      <w:r>
        <w:rPr>
          <w:rFonts w:ascii="Times New Roman" w:hAnsi="Times New Roman" w:cs="Times New Roman"/>
          <w:color w:val="000000"/>
          <w:sz w:val="4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48"/>
          <w:szCs w:val="24"/>
        </w:rPr>
        <w:t>АЯ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4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647" w:lineRule="exact"/>
        <w:ind w:left="1200" w:right="709"/>
        <w:rPr>
          <w:rFonts w:ascii="Times New Roman" w:hAnsi="Times New Roman" w:cs="Times New Roman"/>
          <w:b/>
          <w:color w:val="000000"/>
          <w:sz w:val="56"/>
          <w:szCs w:val="24"/>
        </w:rPr>
      </w:pPr>
      <w:r>
        <w:rPr>
          <w:rFonts w:ascii="Times New Roman" w:hAnsi="Times New Roman" w:cs="Times New Roman"/>
          <w:b/>
          <w:color w:val="000000"/>
          <w:sz w:val="56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ЖИЛЫМИ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ПОМЕЩЕНИЯМИ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2011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6"/>
          <w:szCs w:val="24"/>
        </w:rPr>
        <w:t xml:space="preserve">»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45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48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43" w:right="589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1"/>
        <w:gridCol w:w="8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.3-4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.5-6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6-7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7-8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8-9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437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8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tabs>
          <w:tab w:val="left" w:pos="7422"/>
        </w:tabs>
        <w:autoSpaceDE w:val="0"/>
        <w:autoSpaceDN w:val="0"/>
        <w:adjustRightInd w:val="0"/>
        <w:spacing w:after="0" w:line="330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9" w:right="494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82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50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9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before="290" w:after="0" w:line="320" w:lineRule="exact"/>
        <w:ind w:left="262" w:right="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864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864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590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4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864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864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070" w:space="147"/>
            <w:col w:w="6756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32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494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99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10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107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103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 45334,674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864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10607,369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864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7137,415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864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7422,000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864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8933,89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08641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11234,0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864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платежеспособным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>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скоординированные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</w:p>
    <w:p w:rsidR="00000000" w:rsidRDefault="00086416">
      <w:pPr>
        <w:widowControl w:val="0"/>
        <w:tabs>
          <w:tab w:val="left" w:pos="2284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070" w:space="147"/>
            <w:col w:w="6756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3217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480" w:lineRule="exact"/>
        <w:ind w:left="989" w:right="3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4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110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</w:t>
      </w:r>
      <w:r>
        <w:rPr>
          <w:rFonts w:ascii="Times New Roman" w:hAnsi="Times New Roman" w:cs="Times New Roman"/>
          <w:color w:val="000000"/>
          <w:sz w:val="28"/>
          <w:szCs w:val="24"/>
        </w:rPr>
        <w:t>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2002  -2010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110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2005-2010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61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кризисом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2008-2009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</w:t>
      </w:r>
      <w:r>
        <w:rPr>
          <w:rFonts w:ascii="Times New Roman" w:hAnsi="Times New Roman" w:cs="Times New Roman"/>
          <w:color w:val="000000"/>
          <w:sz w:val="28"/>
          <w:szCs w:val="24"/>
        </w:rPr>
        <w:t>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159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135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12 %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2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доказало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Консолидация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30" w:lineRule="exact"/>
        <w:ind w:left="167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</w:p>
    <w:p w:rsidR="00000000" w:rsidRDefault="00086416">
      <w:pPr>
        <w:widowControl w:val="0"/>
        <w:tabs>
          <w:tab w:val="left" w:pos="7823"/>
        </w:tabs>
        <w:autoSpaceDE w:val="0"/>
        <w:autoSpaceDN w:val="0"/>
        <w:adjustRightInd w:val="0"/>
        <w:spacing w:after="0" w:line="330" w:lineRule="exact"/>
        <w:ind w:left="32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494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лодыми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</w:t>
      </w:r>
      <w:r>
        <w:rPr>
          <w:rFonts w:ascii="Times New Roman" w:hAnsi="Times New Roman" w:cs="Times New Roman"/>
          <w:color w:val="000000"/>
          <w:sz w:val="28"/>
          <w:szCs w:val="24"/>
        </w:rPr>
        <w:t>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9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45334,674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8641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10607,369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</w:p>
    <w:p w:rsidR="00000000" w:rsidRDefault="0008641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1997,242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1590,758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35,369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6984,000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864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7137,415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</w:p>
    <w:p w:rsidR="00000000" w:rsidRDefault="0008641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1548,386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803,614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63,415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4722,000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7422,000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</w:p>
    <w:p w:rsidR="00000000" w:rsidRDefault="0008641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30,315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585,684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90,001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5616,000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864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8933,89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990,525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452,365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7410,000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08641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11234,0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1600,62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730,380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8756,0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86416">
      <w:pPr>
        <w:widowControl w:val="0"/>
        <w:tabs>
          <w:tab w:val="left" w:pos="6541"/>
        </w:tabs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90" w:after="0" w:line="330" w:lineRule="exact"/>
        <w:ind w:left="51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tabs>
          <w:tab w:val="left" w:pos="8048"/>
        </w:tabs>
        <w:autoSpaceDE w:val="0"/>
        <w:autoSpaceDN w:val="0"/>
        <w:adjustRightInd w:val="0"/>
        <w:spacing w:after="0" w:line="330" w:lineRule="exact"/>
        <w:ind w:left="21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9" w:right="493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86416">
      <w:pPr>
        <w:widowControl w:val="0"/>
        <w:tabs>
          <w:tab w:val="left" w:pos="597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заключ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111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выбранного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купли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4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накопительного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кооперативом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639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7" w:lineRule="exact"/>
        <w:ind w:left="639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усыновлении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before="270" w:after="0" w:line="320" w:lineRule="exact"/>
        <w:ind w:left="1616" w:right="93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Прогнозируемые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приобретения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37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tabs>
          <w:tab w:val="left" w:pos="7919"/>
        </w:tabs>
        <w:autoSpaceDE w:val="0"/>
        <w:autoSpaceDN w:val="0"/>
        <w:adjustRightInd w:val="0"/>
        <w:spacing w:before="265" w:after="0" w:line="315" w:lineRule="exact"/>
        <w:ind w:left="4787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финанси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рования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) </w:t>
      </w:r>
    </w:p>
    <w:p w:rsidR="00000000" w:rsidRDefault="00086416">
      <w:pPr>
        <w:widowControl w:val="0"/>
        <w:tabs>
          <w:tab w:val="left" w:pos="1480"/>
          <w:tab w:val="left" w:pos="2950"/>
          <w:tab w:val="left" w:pos="3927"/>
          <w:tab w:val="left" w:pos="9186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Ответственны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5" w:bottom="660" w:left="1063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left="29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80" w:lineRule="exact"/>
        <w:ind w:right="-736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.) 2011 </w:t>
      </w:r>
    </w:p>
    <w:p w:rsidR="00000000" w:rsidRDefault="0008641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выполнение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num="6" w:space="720" w:equalWidth="0">
            <w:col w:w="1053" w:space="207"/>
            <w:col w:w="1233" w:space="176"/>
            <w:col w:w="911" w:space="137"/>
            <w:col w:w="765" w:space="4660"/>
            <w:col w:w="1176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left="5694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2012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2013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2014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2015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num="5" w:space="720" w:equalWidth="0">
            <w:col w:w="6054" w:space="497"/>
            <w:col w:w="359" w:space="587"/>
            <w:col w:w="359" w:space="562"/>
            <w:col w:w="359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left="15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6"/>
        <w:gridCol w:w="3615"/>
        <w:gridCol w:w="922"/>
        <w:gridCol w:w="5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4162,801  1590,758  803,614  585,684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452,365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730,380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6416">
      <w:pPr>
        <w:widowControl w:val="0"/>
        <w:autoSpaceDE w:val="0"/>
        <w:autoSpaceDN w:val="0"/>
        <w:adjustRightInd w:val="0"/>
        <w:spacing w:after="0" w:line="180" w:lineRule="exact"/>
        <w:ind w:left="9151" w:right="5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</w:t>
      </w:r>
    </w:p>
    <w:p w:rsidR="00000000" w:rsidRDefault="00086416">
      <w:pPr>
        <w:widowControl w:val="0"/>
        <w:tabs>
          <w:tab w:val="left" w:pos="9688"/>
        </w:tabs>
        <w:autoSpaceDE w:val="0"/>
        <w:autoSpaceDN w:val="0"/>
        <w:adjustRightInd w:val="0"/>
        <w:spacing w:after="0" w:line="210" w:lineRule="exact"/>
        <w:ind w:left="15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space="720" w:equalWidth="0">
            <w:col w:w="10349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left="14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left="378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7267,088  1997,242  1548,386  1130,315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num="3" w:space="720" w:equalWidth="0">
            <w:col w:w="2277" w:space="6866"/>
            <w:col w:w="1134" w:space="0"/>
            <w:col w:w="-1"/>
          </w:cols>
          <w:noEndnote/>
        </w:sect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2273"/>
        <w:gridCol w:w="958"/>
        <w:gridCol w:w="857"/>
        <w:gridCol w:w="857"/>
        <w:gridCol w:w="905"/>
        <w:gridCol w:w="120"/>
        <w:gridCol w:w="802"/>
        <w:gridCol w:w="79"/>
        <w:gridCol w:w="730"/>
        <w:gridCol w:w="12"/>
        <w:gridCol w:w="1184"/>
        <w:gridCol w:w="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990,525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1600,62 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2011-2015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вторичном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98" w:type="dxa"/>
          <w:wAfter w:w="15" w:type="dxa"/>
          <w:trHeight w:hRule="exact" w:val="69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416,785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35,369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63,415 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90,001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81,0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147,0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6416">
      <w:pPr>
        <w:widowControl w:val="0"/>
        <w:tabs>
          <w:tab w:val="left" w:pos="3859"/>
          <w:tab w:val="left" w:pos="4776"/>
          <w:tab w:val="left" w:pos="7436"/>
          <w:tab w:val="left" w:pos="8399"/>
        </w:tabs>
        <w:autoSpaceDE w:val="0"/>
        <w:autoSpaceDN w:val="0"/>
        <w:adjustRightInd w:val="0"/>
        <w:spacing w:after="0" w:line="210" w:lineRule="exact"/>
        <w:ind w:left="12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33488,0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6984,00  4722,00  5616,00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7410,00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8756,0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space="720" w:equalWidth="0">
            <w:col w:w="10349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left="1491"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45334,674  10607,369  7137,415  7422,000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8933,89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11234,0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num="6" w:space="720" w:equalWidth="0">
            <w:col w:w="2052" w:space="1688"/>
            <w:col w:w="3312" w:space="344"/>
            <w:col w:w="561" w:space="361"/>
            <w:col w:w="561" w:space="812"/>
            <w:col w:w="81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86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before="285" w:after="0" w:line="330" w:lineRule="exact"/>
        <w:ind w:left="639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>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63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8641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70" w:after="0" w:line="320" w:lineRule="exact"/>
        <w:ind w:left="1476" w:right="7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6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063" w:header="720" w:footer="720" w:gutter="0"/>
          <w:cols w:space="720" w:equalWidth="0">
            <w:col w:w="10349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40" w:lineRule="exact"/>
        <w:ind w:left="262" w:right="2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45237,0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21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tabs>
          <w:tab w:val="left" w:pos="5857"/>
        </w:tabs>
        <w:autoSpaceDE w:val="0"/>
        <w:autoSpaceDN w:val="0"/>
        <w:adjustRightInd w:val="0"/>
        <w:spacing w:after="0" w:line="285" w:lineRule="exact"/>
        <w:ind w:left="21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tabs>
          <w:tab w:val="left" w:pos="2513"/>
          <w:tab w:val="left" w:pos="9537"/>
        </w:tabs>
        <w:autoSpaceDE w:val="0"/>
        <w:autoSpaceDN w:val="0"/>
        <w:adjustRightInd w:val="0"/>
        <w:spacing w:before="95" w:after="0" w:line="285" w:lineRule="exact"/>
        <w:ind w:left="5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tbl>
      <w:tblPr>
        <w:tblW w:w="0" w:type="auto"/>
        <w:tblInd w:w="23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6128"/>
        <w:gridCol w:w="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2011  %  2012  %  2013  %  2014  % 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5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3"/>
        <w:gridCol w:w="1152"/>
        <w:gridCol w:w="5989"/>
        <w:gridCol w:w="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10  8  3  2  2  2  5  4  10  8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0" w:lineRule="exact"/>
        <w:ind w:left="262" w:right="18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1" w:right="199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08641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20" w:lineRule="exact"/>
        <w:ind w:left="5941" w:right="726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5941" w:right="-22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молод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ых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семей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»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before="265" w:after="0" w:line="315" w:lineRule="exact"/>
        <w:ind w:left="44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30" w:lineRule="exact"/>
        <w:ind w:left="564" w:right="26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08641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85"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5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>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tabs>
          <w:tab w:val="left" w:pos="5636"/>
          <w:tab w:val="left" w:pos="706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51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</w:t>
      </w:r>
      <w:r>
        <w:rPr>
          <w:rFonts w:ascii="Times New Roman" w:hAnsi="Times New Roman" w:cs="Times New Roman"/>
          <w:color w:val="000000"/>
          <w:sz w:val="28"/>
          <w:szCs w:val="24"/>
        </w:rPr>
        <w:t>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7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-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82" w:right="496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</w:t>
      </w:r>
      <w:r>
        <w:rPr>
          <w:rFonts w:ascii="Times New Roman" w:hAnsi="Times New Roman" w:cs="Times New Roman"/>
          <w:color w:val="000000"/>
          <w:sz w:val="28"/>
          <w:szCs w:val="24"/>
        </w:rPr>
        <w:t>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просрочку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</w:t>
      </w:r>
      <w:r>
        <w:rPr>
          <w:rFonts w:ascii="Times New Roman" w:hAnsi="Times New Roman" w:cs="Times New Roman"/>
          <w:color w:val="000000"/>
          <w:sz w:val="28"/>
          <w:szCs w:val="24"/>
        </w:rPr>
        <w:t>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- 42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</w:t>
      </w:r>
      <w:r>
        <w:rPr>
          <w:rFonts w:ascii="Times New Roman" w:hAnsi="Times New Roman" w:cs="Times New Roman"/>
          <w:color w:val="000000"/>
          <w:sz w:val="28"/>
          <w:szCs w:val="24"/>
        </w:rPr>
        <w:t>угов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tabs>
          <w:tab w:val="left" w:pos="7153"/>
          <w:tab w:val="left" w:pos="7235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</w:t>
      </w:r>
      <w:r>
        <w:rPr>
          <w:rFonts w:ascii="Times New Roman" w:hAnsi="Times New Roman" w:cs="Times New Roman"/>
          <w:color w:val="000000"/>
          <w:sz w:val="28"/>
          <w:szCs w:val="24"/>
        </w:rPr>
        <w:t>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8(1).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</w:t>
      </w:r>
      <w:r>
        <w:rPr>
          <w:rFonts w:ascii="Times New Roman" w:hAnsi="Times New Roman" w:cs="Times New Roman"/>
          <w:color w:val="000000"/>
          <w:sz w:val="28"/>
          <w:szCs w:val="24"/>
        </w:rPr>
        <w:t>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tabs>
          <w:tab w:val="left" w:pos="5909"/>
          <w:tab w:val="left" w:pos="7681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>)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</w:t>
      </w:r>
      <w:r>
        <w:rPr>
          <w:rFonts w:ascii="Times New Roman" w:hAnsi="Times New Roman" w:cs="Times New Roman"/>
          <w:color w:val="000000"/>
          <w:sz w:val="28"/>
          <w:szCs w:val="24"/>
        </w:rPr>
        <w:t>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</w:t>
      </w:r>
      <w:r>
        <w:rPr>
          <w:rFonts w:ascii="Times New Roman" w:hAnsi="Times New Roman" w:cs="Times New Roman"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tabs>
          <w:tab w:val="left" w:pos="406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FF"/>
          <w:sz w:val="28"/>
          <w:szCs w:val="24"/>
        </w:rPr>
        <w:t>д</w:t>
      </w:r>
      <w:r>
        <w:rPr>
          <w:rFonts w:ascii="Times New Roman" w:hAnsi="Times New Roman" w:cs="Times New Roman"/>
          <w:color w:val="0000FF"/>
          <w:sz w:val="28"/>
          <w:szCs w:val="24"/>
        </w:rPr>
        <w:t>"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заимодавца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задолженности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ипотечным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86416">
      <w:pPr>
        <w:widowControl w:val="0"/>
        <w:numPr>
          <w:ilvl w:val="0"/>
          <w:numId w:val="38"/>
        </w:numPr>
        <w:tabs>
          <w:tab w:val="left" w:pos="7928"/>
        </w:tabs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пунктами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39"/>
        </w:numPr>
        <w:tabs>
          <w:tab w:val="left" w:pos="885"/>
        </w:tabs>
        <w:autoSpaceDE w:val="0"/>
        <w:autoSpaceDN w:val="0"/>
        <w:adjustRightInd w:val="0"/>
        <w:spacing w:after="0" w:line="33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 xml:space="preserve"> (1)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tabs>
          <w:tab w:val="left" w:pos="7458"/>
          <w:tab w:val="left" w:pos="8711"/>
          <w:tab w:val="left" w:pos="947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8(1)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дневный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</w:t>
      </w:r>
      <w:r>
        <w:rPr>
          <w:rFonts w:ascii="Times New Roman" w:hAnsi="Times New Roman" w:cs="Times New Roman"/>
          <w:color w:val="000000"/>
          <w:sz w:val="28"/>
          <w:szCs w:val="24"/>
        </w:rPr>
        <w:t>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86416">
      <w:pPr>
        <w:widowControl w:val="0"/>
        <w:tabs>
          <w:tab w:val="left" w:pos="252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8(1)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25" w:lineRule="exact"/>
        <w:ind w:left="577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086416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25" w:lineRule="exact"/>
        <w:ind w:left="5773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семей</w:t>
      </w:r>
    </w:p>
    <w:p w:rsidR="00000000" w:rsidRDefault="00086416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00" w:lineRule="exact"/>
        <w:ind w:left="5773" w:right="781" w:firstLine="0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жилыми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помещениями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25" w:lineRule="exact"/>
        <w:ind w:left="577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2011-2015 </w:t>
      </w:r>
      <w:r>
        <w:rPr>
          <w:rFonts w:ascii="Times New Roman" w:hAnsi="Times New Roman" w:cs="Times New Roman"/>
          <w:color w:val="000000"/>
          <w:sz w:val="18"/>
          <w:szCs w:val="24"/>
        </w:rPr>
        <w:t>го</w:t>
      </w:r>
      <w:r>
        <w:rPr>
          <w:rFonts w:ascii="Times New Roman" w:hAnsi="Times New Roman" w:cs="Times New Roman"/>
          <w:color w:val="000000"/>
          <w:sz w:val="18"/>
          <w:szCs w:val="24"/>
        </w:rPr>
        <w:t>ды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»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33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before="215" w:after="0" w:line="285" w:lineRule="exact"/>
        <w:ind w:left="399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ЗАЯВ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ЛЕНИ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086416">
      <w:pPr>
        <w:widowControl w:val="0"/>
        <w:autoSpaceDE w:val="0"/>
        <w:autoSpaceDN w:val="0"/>
        <w:adjustRightInd w:val="0"/>
        <w:spacing w:before="195" w:after="0" w:line="270" w:lineRule="exact"/>
        <w:ind w:left="262" w:right="-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“Жилище”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3" w:right="490" w:bottom="660" w:left="1440" w:header="0" w:footer="0" w:gutter="0"/>
          <w:cols w:space="720"/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415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3" w:space="720" w:equalWidth="0">
            <w:col w:w="6765" w:space="3078"/>
            <w:col w:w="120" w:space="0"/>
            <w:col w:w="-1"/>
          </w:cols>
          <w:noEndnote/>
        </w:sectPr>
      </w:pPr>
    </w:p>
    <w:p w:rsidR="00000000" w:rsidRDefault="0008641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3" w:space="881"/>
            <w:col w:w="60" w:space="922"/>
            <w:col w:w="1030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9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7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42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3" w:space="720" w:equalWidth="0">
            <w:col w:w="6774" w:space="3068"/>
            <w:col w:w="120" w:space="0"/>
            <w:col w:w="-1"/>
          </w:cols>
          <w:noEndnote/>
        </w:sectPr>
      </w:pPr>
    </w:p>
    <w:p w:rsidR="00000000" w:rsidRDefault="0008641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3" w:space="881"/>
            <w:col w:w="60" w:space="922"/>
            <w:col w:w="1030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9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7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0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3" w:space="720" w:equalWidth="0">
            <w:col w:w="7360" w:space="2482"/>
            <w:col w:w="120" w:space="0"/>
            <w:col w:w="-1"/>
          </w:cols>
          <w:noEndnote/>
        </w:sectPr>
      </w:pPr>
    </w:p>
    <w:p w:rsidR="00000000" w:rsidRDefault="00086416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3" w:space="881"/>
            <w:col w:w="60" w:space="922"/>
            <w:col w:w="1030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98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before="15" w:after="0" w:line="300" w:lineRule="exact"/>
        <w:ind w:left="3762" w:right="-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0" w:lineRule="exact"/>
        <w:ind w:left="262" w:right="2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вычеркнуть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tabs>
          <w:tab w:val="left" w:pos="3478"/>
          <w:tab w:val="left" w:pos="5576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7"/>
          </w:cols>
          <w:noEndnote/>
        </w:sectPr>
      </w:pPr>
    </w:p>
    <w:p w:rsidR="00000000" w:rsidRDefault="00086416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85" w:lineRule="exact"/>
        <w:ind w:left="630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063" w:space="881"/>
            <w:col w:w="60" w:space="922"/>
            <w:col w:w="1030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98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6416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255" w:after="0" w:line="280" w:lineRule="exact"/>
        <w:ind w:left="262" w:right="-13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“Обеспечение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семей”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“Жилище”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обязуемся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7"/>
          </w:cols>
          <w:noEndnote/>
        </w:sectPr>
      </w:pPr>
    </w:p>
    <w:p w:rsidR="00000000" w:rsidRDefault="00086416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9"/>
            <w:col w:w="60" w:space="1258"/>
            <w:col w:w="60" w:space="1148"/>
            <w:col w:w="127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2"/>
            <w:col w:w="660" w:space="946"/>
            <w:col w:w="60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7" w:right="49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9"/>
            <w:col w:w="60" w:space="1258"/>
            <w:col w:w="60" w:space="1148"/>
            <w:col w:w="127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2"/>
            <w:col w:w="660" w:space="946"/>
            <w:col w:w="60" w:space="0"/>
            <w:col w:w="-1"/>
          </w:cols>
          <w:noEndnote/>
        </w:sectPr>
      </w:pPr>
    </w:p>
    <w:p w:rsidR="00000000" w:rsidRDefault="0008641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9"/>
            <w:col w:w="60" w:space="1258"/>
            <w:col w:w="60" w:space="1148"/>
            <w:col w:w="127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2"/>
            <w:col w:w="660" w:space="946"/>
            <w:col w:w="60" w:space="0"/>
            <w:col w:w="-1"/>
          </w:cols>
          <w:noEndnote/>
        </w:sectPr>
      </w:pPr>
    </w:p>
    <w:p w:rsidR="00000000" w:rsidRDefault="00086416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7" w:space="720" w:equalWidth="0">
            <w:col w:w="660" w:space="4763"/>
            <w:col w:w="60" w:space="931"/>
            <w:col w:w="60" w:space="819"/>
            <w:col w:w="60" w:space="1258"/>
            <w:col w:w="60" w:space="1148"/>
            <w:col w:w="120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>)    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7408" w:space="902"/>
            <w:col w:w="660" w:space="946"/>
            <w:col w:w="60" w:space="0"/>
            <w:col w:w="-1"/>
          </w:cols>
          <w:noEndnote/>
        </w:sectPr>
      </w:pPr>
    </w:p>
    <w:p w:rsidR="00000000" w:rsidRDefault="0008641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3"/>
        <w:gridCol w:w="1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 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64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08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6416">
      <w:pPr>
        <w:widowControl w:val="0"/>
        <w:numPr>
          <w:ilvl w:val="0"/>
          <w:numId w:val="58"/>
        </w:numPr>
        <w:tabs>
          <w:tab w:val="left" w:pos="3778"/>
        </w:tabs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 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space="720" w:equalWidth="0">
            <w:col w:w="9977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80" w:lineRule="exact"/>
        <w:ind w:left="5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0" w:bottom="720" w:left="1440" w:header="720" w:footer="720" w:gutter="0"/>
          <w:cols w:num="4" w:space="720" w:equalWidth="0">
            <w:col w:w="3674" w:space="1166"/>
            <w:col w:w="1622" w:space="718"/>
            <w:col w:w="2739" w:space="0"/>
            <w:col w:w="-1"/>
          </w:cols>
          <w:noEndnote/>
        </w:sectPr>
      </w:pPr>
    </w:p>
    <w:p w:rsidR="00000000" w:rsidRDefault="00086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A6"/>
    <w:multiLevelType w:val="hybridMultilevel"/>
    <w:tmpl w:val="000032CB"/>
    <w:lvl w:ilvl="0" w:tplc="0000093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1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C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3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E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1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83E"/>
    <w:multiLevelType w:val="hybridMultilevel"/>
    <w:tmpl w:val="0000C723"/>
    <w:lvl w:ilvl="0" w:tplc="000016D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2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8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333"/>
    <w:multiLevelType w:val="hybridMultilevel"/>
    <w:tmpl w:val="000069A2"/>
    <w:lvl w:ilvl="0" w:tplc="000005F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2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D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4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6FE"/>
    <w:multiLevelType w:val="hybridMultilevel"/>
    <w:tmpl w:val="00010E07"/>
    <w:lvl w:ilvl="0" w:tplc="000012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3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0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1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F7A"/>
    <w:multiLevelType w:val="hybridMultilevel"/>
    <w:tmpl w:val="0000B2C6"/>
    <w:lvl w:ilvl="0" w:tplc="000023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0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FDB"/>
    <w:multiLevelType w:val="hybridMultilevel"/>
    <w:tmpl w:val="00006404"/>
    <w:lvl w:ilvl="0" w:tplc="000001B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9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218"/>
    <w:multiLevelType w:val="hybridMultilevel"/>
    <w:tmpl w:val="00012D9A"/>
    <w:lvl w:ilvl="0" w:tplc="0000110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4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85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3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E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A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3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A3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68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35BD"/>
    <w:multiLevelType w:val="hybridMultilevel"/>
    <w:tmpl w:val="0000A95B"/>
    <w:lvl w:ilvl="0" w:tplc="000008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3613"/>
    <w:multiLevelType w:val="hybridMultilevel"/>
    <w:tmpl w:val="00003E8D"/>
    <w:lvl w:ilvl="0" w:tplc="000019A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D8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6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6D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4A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F7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76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10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AB5"/>
    <w:multiLevelType w:val="hybridMultilevel"/>
    <w:tmpl w:val="0001744E"/>
    <w:lvl w:ilvl="0" w:tplc="000009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B5B"/>
    <w:multiLevelType w:val="hybridMultilevel"/>
    <w:tmpl w:val="00015647"/>
    <w:lvl w:ilvl="0" w:tplc="000017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4B4A"/>
    <w:multiLevelType w:val="hybridMultilevel"/>
    <w:tmpl w:val="0001597F"/>
    <w:lvl w:ilvl="0" w:tplc="0000243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3D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8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2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05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72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D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84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8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7153"/>
    <w:multiLevelType w:val="hybridMultilevel"/>
    <w:tmpl w:val="000034B0"/>
    <w:lvl w:ilvl="0" w:tplc="00001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7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7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1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6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B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733F"/>
    <w:multiLevelType w:val="hybridMultilevel"/>
    <w:tmpl w:val="0001754D"/>
    <w:lvl w:ilvl="0" w:tplc="00001D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27A"/>
    <w:multiLevelType w:val="hybridMultilevel"/>
    <w:tmpl w:val="00007CF4"/>
    <w:lvl w:ilvl="0" w:tplc="00000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351"/>
    <w:multiLevelType w:val="hybridMultilevel"/>
    <w:tmpl w:val="00014D0D"/>
    <w:lvl w:ilvl="0" w:tplc="00000F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955B"/>
    <w:multiLevelType w:val="hybridMultilevel"/>
    <w:tmpl w:val="0000D989"/>
    <w:lvl w:ilvl="0" w:tplc="00000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4AB"/>
    <w:multiLevelType w:val="hybridMultilevel"/>
    <w:tmpl w:val="000025EC"/>
    <w:lvl w:ilvl="0" w:tplc="0000120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A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F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5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D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9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1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A51D"/>
    <w:multiLevelType w:val="hybridMultilevel"/>
    <w:tmpl w:val="00006BB1"/>
    <w:lvl w:ilvl="0" w:tplc="000012C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D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7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C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4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8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B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AFF5"/>
    <w:multiLevelType w:val="hybridMultilevel"/>
    <w:tmpl w:val="00003BAF"/>
    <w:lvl w:ilvl="0" w:tplc="00000F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B14D"/>
    <w:multiLevelType w:val="hybridMultilevel"/>
    <w:tmpl w:val="00015EFC"/>
    <w:lvl w:ilvl="0" w:tplc="0000072D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7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F3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C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22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61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2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2A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05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BEAE"/>
    <w:multiLevelType w:val="hybridMultilevel"/>
    <w:tmpl w:val="00005C7D"/>
    <w:lvl w:ilvl="0" w:tplc="00000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D1DD"/>
    <w:multiLevelType w:val="hybridMultilevel"/>
    <w:tmpl w:val="0001553C"/>
    <w:lvl w:ilvl="0" w:tplc="000023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D387"/>
    <w:multiLevelType w:val="hybridMultilevel"/>
    <w:tmpl w:val="00011332"/>
    <w:lvl w:ilvl="0" w:tplc="00000C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D63A"/>
    <w:multiLevelType w:val="hybridMultilevel"/>
    <w:tmpl w:val="00009E86"/>
    <w:lvl w:ilvl="0" w:tplc="0000189F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3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26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3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C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4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8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7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4">
      <w:numFmt w:val="bullet"/>
      <w:suff w:val="space"/>
      <w:lvlText w:val="е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D826"/>
    <w:multiLevelType w:val="hybridMultilevel"/>
    <w:tmpl w:val="0000E430"/>
    <w:lvl w:ilvl="0" w:tplc="000020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15D"/>
    <w:multiLevelType w:val="hybridMultilevel"/>
    <w:tmpl w:val="0001861E"/>
    <w:lvl w:ilvl="0" w:tplc="0000195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A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5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D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3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C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0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E1EE"/>
    <w:multiLevelType w:val="hybridMultilevel"/>
    <w:tmpl w:val="000147D3"/>
    <w:lvl w:ilvl="0" w:tplc="000025D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7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9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9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7A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3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6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CE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1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ECB0"/>
    <w:multiLevelType w:val="hybridMultilevel"/>
    <w:tmpl w:val="00014E1E"/>
    <w:lvl w:ilvl="0" w:tplc="000007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ECF4"/>
    <w:multiLevelType w:val="hybridMultilevel"/>
    <w:tmpl w:val="00002D55"/>
    <w:lvl w:ilvl="0" w:tplc="000002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EF57"/>
    <w:multiLevelType w:val="hybridMultilevel"/>
    <w:tmpl w:val="0000750A"/>
    <w:lvl w:ilvl="0" w:tplc="00001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018F"/>
    <w:multiLevelType w:val="hybridMultilevel"/>
    <w:tmpl w:val="0001825B"/>
    <w:lvl w:ilvl="0" w:tplc="000019C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0256"/>
    <w:multiLevelType w:val="hybridMultilevel"/>
    <w:tmpl w:val="00000BCF"/>
    <w:lvl w:ilvl="0" w:tplc="00001D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C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6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5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7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6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1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16D3"/>
    <w:multiLevelType w:val="hybridMultilevel"/>
    <w:tmpl w:val="000007B4"/>
    <w:lvl w:ilvl="0" w:tplc="00001C07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C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9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0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69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3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D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1F32"/>
    <w:multiLevelType w:val="hybridMultilevel"/>
    <w:tmpl w:val="000043C4"/>
    <w:lvl w:ilvl="0" w:tplc="000015F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2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F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E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3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F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A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1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8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2BAE"/>
    <w:multiLevelType w:val="hybridMultilevel"/>
    <w:tmpl w:val="0000C808"/>
    <w:lvl w:ilvl="0" w:tplc="00000E63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6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8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C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2E59"/>
    <w:multiLevelType w:val="hybridMultilevel"/>
    <w:tmpl w:val="00006C04"/>
    <w:lvl w:ilvl="0" w:tplc="00001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32CD"/>
    <w:multiLevelType w:val="hybridMultilevel"/>
    <w:tmpl w:val="00012715"/>
    <w:lvl w:ilvl="0" w:tplc="0000157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54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D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E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3D09"/>
    <w:multiLevelType w:val="hybridMultilevel"/>
    <w:tmpl w:val="00001E60"/>
    <w:lvl w:ilvl="0" w:tplc="000011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3E14"/>
    <w:multiLevelType w:val="hybridMultilevel"/>
    <w:tmpl w:val="0000C969"/>
    <w:lvl w:ilvl="0" w:tplc="00000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425C"/>
    <w:multiLevelType w:val="hybridMultilevel"/>
    <w:tmpl w:val="0000529F"/>
    <w:lvl w:ilvl="0" w:tplc="0000118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6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7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4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4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E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6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449A"/>
    <w:multiLevelType w:val="hybridMultilevel"/>
    <w:tmpl w:val="000175C9"/>
    <w:lvl w:ilvl="0" w:tplc="00000B1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8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C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9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6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6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C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B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4ABA"/>
    <w:multiLevelType w:val="hybridMultilevel"/>
    <w:tmpl w:val="00017661"/>
    <w:lvl w:ilvl="0" w:tplc="00001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4C0C"/>
    <w:multiLevelType w:val="hybridMultilevel"/>
    <w:tmpl w:val="0000B7DB"/>
    <w:lvl w:ilvl="0" w:tplc="00001245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9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9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1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3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4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5133"/>
    <w:multiLevelType w:val="hybridMultilevel"/>
    <w:tmpl w:val="00006336"/>
    <w:lvl w:ilvl="0" w:tplc="00000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51AF"/>
    <w:multiLevelType w:val="hybridMultilevel"/>
    <w:tmpl w:val="0000E250"/>
    <w:lvl w:ilvl="0" w:tplc="000001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5A27"/>
    <w:multiLevelType w:val="hybridMultilevel"/>
    <w:tmpl w:val="0000A8ED"/>
    <w:lvl w:ilvl="0" w:tplc="00000E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9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6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1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15C3F"/>
    <w:multiLevelType w:val="hybridMultilevel"/>
    <w:tmpl w:val="000120EA"/>
    <w:lvl w:ilvl="0" w:tplc="0000195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C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4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0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1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15D10"/>
    <w:multiLevelType w:val="hybridMultilevel"/>
    <w:tmpl w:val="0000AE1E"/>
    <w:lvl w:ilvl="0" w:tplc="00001C8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0F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D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0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5EAF"/>
    <w:multiLevelType w:val="hybridMultilevel"/>
    <w:tmpl w:val="0000E555"/>
    <w:lvl w:ilvl="0" w:tplc="00001FE1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E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C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9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5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627E"/>
    <w:multiLevelType w:val="hybridMultilevel"/>
    <w:tmpl w:val="0000416D"/>
    <w:lvl w:ilvl="0" w:tplc="0000251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7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62CC"/>
    <w:multiLevelType w:val="hybridMultilevel"/>
    <w:tmpl w:val="00002464"/>
    <w:lvl w:ilvl="0" w:tplc="00001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4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9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1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B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1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F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2">
    <w:nsid w:val="000165A5"/>
    <w:multiLevelType w:val="hybridMultilevel"/>
    <w:tmpl w:val="00016DAA"/>
    <w:lvl w:ilvl="0" w:tplc="0000270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9B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E1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E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FC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81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90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AE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A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17154"/>
    <w:multiLevelType w:val="hybridMultilevel"/>
    <w:tmpl w:val="00001347"/>
    <w:lvl w:ilvl="0" w:tplc="000014C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3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9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5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7439"/>
    <w:multiLevelType w:val="hybridMultilevel"/>
    <w:tmpl w:val="00006F73"/>
    <w:lvl w:ilvl="0" w:tplc="00001180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EF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F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2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7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8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A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B">
      <w:numFmt w:val="bullet"/>
      <w:suff w:val="space"/>
      <w:lvlText w:val="“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7CEB"/>
    <w:multiLevelType w:val="hybridMultilevel"/>
    <w:tmpl w:val="00011528"/>
    <w:lvl w:ilvl="0" w:tplc="00000B8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D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3C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4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D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C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E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17D08"/>
    <w:multiLevelType w:val="hybridMultilevel"/>
    <w:tmpl w:val="000009FF"/>
    <w:lvl w:ilvl="0" w:tplc="000008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7D94"/>
    <w:multiLevelType w:val="hybridMultilevel"/>
    <w:tmpl w:val="0000D543"/>
    <w:lvl w:ilvl="0" w:tplc="00001D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47"/>
  </w:num>
  <w:num w:numId="4">
    <w:abstractNumId w:val="45"/>
  </w:num>
  <w:num w:numId="5">
    <w:abstractNumId w:val="30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44"/>
  </w:num>
  <w:num w:numId="11">
    <w:abstractNumId w:val="29"/>
  </w:num>
  <w:num w:numId="12">
    <w:abstractNumId w:val="42"/>
  </w:num>
  <w:num w:numId="13">
    <w:abstractNumId w:val="9"/>
  </w:num>
  <w:num w:numId="14">
    <w:abstractNumId w:val="36"/>
  </w:num>
  <w:num w:numId="15">
    <w:abstractNumId w:val="46"/>
  </w:num>
  <w:num w:numId="16">
    <w:abstractNumId w:val="0"/>
  </w:num>
  <w:num w:numId="17">
    <w:abstractNumId w:val="14"/>
  </w:num>
  <w:num w:numId="18">
    <w:abstractNumId w:val="53"/>
  </w:num>
  <w:num w:numId="19">
    <w:abstractNumId w:val="39"/>
  </w:num>
  <w:num w:numId="20">
    <w:abstractNumId w:val="2"/>
  </w:num>
  <w:num w:numId="21">
    <w:abstractNumId w:val="22"/>
  </w:num>
  <w:num w:numId="22">
    <w:abstractNumId w:val="48"/>
  </w:num>
  <w:num w:numId="23">
    <w:abstractNumId w:val="21"/>
  </w:num>
  <w:num w:numId="24">
    <w:abstractNumId w:val="27"/>
  </w:num>
  <w:num w:numId="25">
    <w:abstractNumId w:val="43"/>
  </w:num>
  <w:num w:numId="26">
    <w:abstractNumId w:val="19"/>
  </w:num>
  <w:num w:numId="27">
    <w:abstractNumId w:val="24"/>
  </w:num>
  <w:num w:numId="28">
    <w:abstractNumId w:val="55"/>
  </w:num>
  <w:num w:numId="29">
    <w:abstractNumId w:val="34"/>
  </w:num>
  <w:num w:numId="30">
    <w:abstractNumId w:val="57"/>
  </w:num>
  <w:num w:numId="31">
    <w:abstractNumId w:val="51"/>
  </w:num>
  <w:num w:numId="32">
    <w:abstractNumId w:val="26"/>
  </w:num>
  <w:num w:numId="33">
    <w:abstractNumId w:val="17"/>
  </w:num>
  <w:num w:numId="34">
    <w:abstractNumId w:val="41"/>
  </w:num>
  <w:num w:numId="35">
    <w:abstractNumId w:val="33"/>
  </w:num>
  <w:num w:numId="36">
    <w:abstractNumId w:val="11"/>
  </w:num>
  <w:num w:numId="37">
    <w:abstractNumId w:val="10"/>
  </w:num>
  <w:num w:numId="38">
    <w:abstractNumId w:val="52"/>
  </w:num>
  <w:num w:numId="39">
    <w:abstractNumId w:val="31"/>
  </w:num>
  <w:num w:numId="40">
    <w:abstractNumId w:val="8"/>
  </w:num>
  <w:num w:numId="41">
    <w:abstractNumId w:val="20"/>
  </w:num>
  <w:num w:numId="42">
    <w:abstractNumId w:val="7"/>
  </w:num>
  <w:num w:numId="43">
    <w:abstractNumId w:val="6"/>
  </w:num>
  <w:num w:numId="44">
    <w:abstractNumId w:val="28"/>
  </w:num>
  <w:num w:numId="45">
    <w:abstractNumId w:val="38"/>
  </w:num>
  <w:num w:numId="46">
    <w:abstractNumId w:val="25"/>
  </w:num>
  <w:num w:numId="47">
    <w:abstractNumId w:val="35"/>
  </w:num>
  <w:num w:numId="48">
    <w:abstractNumId w:val="49"/>
  </w:num>
  <w:num w:numId="49">
    <w:abstractNumId w:val="5"/>
  </w:num>
  <w:num w:numId="50">
    <w:abstractNumId w:val="54"/>
  </w:num>
  <w:num w:numId="51">
    <w:abstractNumId w:val="50"/>
  </w:num>
  <w:num w:numId="52">
    <w:abstractNumId w:val="23"/>
  </w:num>
  <w:num w:numId="53">
    <w:abstractNumId w:val="12"/>
  </w:num>
  <w:num w:numId="54">
    <w:abstractNumId w:val="32"/>
  </w:num>
  <w:num w:numId="55">
    <w:abstractNumId w:val="18"/>
  </w:num>
  <w:num w:numId="56">
    <w:abstractNumId w:val="40"/>
  </w:num>
  <w:num w:numId="57">
    <w:abstractNumId w:val="56"/>
  </w:num>
  <w:num w:numId="58">
    <w:abstractNumId w:val="37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86416"/>
    <w:rsid w:val="0008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3923</Words>
  <Characters>22363</Characters>
  <Application>Microsoft Office Word</Application>
  <DocSecurity>4</DocSecurity>
  <Lines>186</Lines>
  <Paragraphs>52</Paragraphs>
  <ScaleCrop>false</ScaleCrop>
  <Company/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